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EE454">
      <w:pPr>
        <w:widowControl/>
        <w:spacing w:before="100" w:beforeAutospacing="1" w:after="100" w:afterAutospacing="1" w:line="360" w:lineRule="atLeast"/>
        <w:jc w:val="left"/>
        <w:rPr>
          <w:rFonts w:ascii="仿宋_GB2312" w:hAnsi="仿宋_GB2312" w:eastAsia="仿宋_GB2312" w:cs="仿宋_GB2312"/>
          <w:color w:val="333333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6"/>
          <w:szCs w:val="36"/>
        </w:rPr>
        <w:t>附件1：2025年报废资产处置第七批报价清单</w:t>
      </w:r>
    </w:p>
    <w:p w14:paraId="79B34560">
      <w:pPr>
        <w:widowControl/>
        <w:spacing w:line="360" w:lineRule="atLeast"/>
        <w:jc w:val="left"/>
        <w:rPr>
          <w:rFonts w:ascii="仿宋_GB2312" w:hAnsi="仿宋_GB2312" w:eastAsia="仿宋_GB2312" w:cs="仿宋_GB2312"/>
          <w:color w:val="333333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6"/>
          <w:szCs w:val="36"/>
        </w:rPr>
        <w:t>报价单位名称：</w:t>
      </w:r>
      <w:r>
        <w:rPr>
          <w:rFonts w:hint="eastAsia" w:ascii="仿宋_GB2312" w:hAnsi="仿宋_GB2312" w:eastAsia="仿宋_GB2312" w:cs="仿宋_GB2312"/>
          <w:color w:val="333333"/>
          <w:kern w:val="0"/>
          <w:sz w:val="36"/>
          <w:szCs w:val="36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36"/>
          <w:szCs w:val="36"/>
        </w:rPr>
        <w:t>（盖章）</w:t>
      </w:r>
      <w:bookmarkStart w:id="0" w:name="_GoBack"/>
      <w:bookmarkEnd w:id="0"/>
    </w:p>
    <w:p w14:paraId="7DFEA3F5">
      <w:pPr>
        <w:widowControl/>
        <w:spacing w:line="360" w:lineRule="atLeast"/>
        <w:jc w:val="left"/>
        <w:rPr>
          <w:rFonts w:ascii="仿宋_GB2312" w:hAnsi="仿宋_GB2312" w:eastAsia="仿宋_GB2312" w:cs="仿宋_GB2312"/>
          <w:color w:val="333333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6"/>
          <w:szCs w:val="36"/>
        </w:rPr>
        <w:t>联系人：</w:t>
      </w:r>
      <w:r>
        <w:rPr>
          <w:rFonts w:hint="eastAsia" w:ascii="仿宋_GB2312" w:hAnsi="仿宋_GB2312" w:eastAsia="仿宋_GB2312" w:cs="仿宋_GB2312"/>
          <w:color w:val="333333"/>
          <w:kern w:val="0"/>
          <w:sz w:val="36"/>
          <w:szCs w:val="36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36"/>
          <w:szCs w:val="36"/>
        </w:rPr>
        <w:t>联系电话：</w:t>
      </w:r>
    </w:p>
    <w:p w14:paraId="6D074E3E">
      <w:pPr>
        <w:widowControl/>
        <w:spacing w:line="360" w:lineRule="atLeast"/>
        <w:jc w:val="left"/>
        <w:rPr>
          <w:rFonts w:ascii="仿宋_GB2312" w:hAnsi="仿宋_GB2312" w:eastAsia="仿宋_GB2312" w:cs="仿宋_GB2312"/>
          <w:color w:val="333333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6"/>
          <w:szCs w:val="36"/>
        </w:rPr>
        <w:t>Email：</w:t>
      </w:r>
    </w:p>
    <w:p w14:paraId="19BD1698">
      <w:pPr>
        <w:widowControl/>
        <w:spacing w:line="360" w:lineRule="atLeast"/>
        <w:jc w:val="left"/>
        <w:rPr>
          <w:rFonts w:ascii="仿宋_GB2312" w:hAnsi="仿宋_GB2312" w:eastAsia="仿宋_GB2312" w:cs="仿宋_GB2312"/>
          <w:b/>
          <w:color w:val="333333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color w:val="333333"/>
          <w:kern w:val="0"/>
          <w:sz w:val="36"/>
          <w:szCs w:val="36"/>
        </w:rPr>
        <w:t>报废处置清单：</w:t>
      </w:r>
    </w:p>
    <w:tbl>
      <w:tblPr>
        <w:tblStyle w:val="4"/>
        <w:tblW w:w="531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908"/>
        <w:gridCol w:w="784"/>
        <w:gridCol w:w="587"/>
        <w:gridCol w:w="1769"/>
        <w:gridCol w:w="1769"/>
        <w:gridCol w:w="1768"/>
      </w:tblGrid>
      <w:tr w14:paraId="18D1C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tblHeader/>
          <w:jc w:val="center"/>
        </w:trPr>
        <w:tc>
          <w:tcPr>
            <w:tcW w:w="260" w:type="pct"/>
            <w:shd w:val="clear" w:color="auto" w:fill="D0CECE"/>
            <w:vAlign w:val="center"/>
          </w:tcPr>
          <w:p w14:paraId="7F6D07FF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053" w:type="pct"/>
            <w:shd w:val="clear" w:color="auto" w:fill="D0CECE"/>
            <w:vAlign w:val="center"/>
          </w:tcPr>
          <w:p w14:paraId="56D4371C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433" w:type="pct"/>
            <w:shd w:val="clear" w:color="auto" w:fill="D0CECE"/>
            <w:vAlign w:val="center"/>
          </w:tcPr>
          <w:p w14:paraId="66F36836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数量</w:t>
            </w:r>
          </w:p>
        </w:tc>
        <w:tc>
          <w:tcPr>
            <w:tcW w:w="324" w:type="pct"/>
            <w:shd w:val="clear" w:color="auto" w:fill="D0CECE"/>
            <w:vAlign w:val="center"/>
          </w:tcPr>
          <w:p w14:paraId="3384A18F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单位</w:t>
            </w:r>
          </w:p>
        </w:tc>
        <w:tc>
          <w:tcPr>
            <w:tcW w:w="977" w:type="pct"/>
            <w:shd w:val="clear" w:color="auto" w:fill="D0CECE"/>
            <w:vAlign w:val="center"/>
          </w:tcPr>
          <w:p w14:paraId="54044544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净价（等于含税总价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/（1+3%））</w:t>
            </w:r>
          </w:p>
        </w:tc>
        <w:tc>
          <w:tcPr>
            <w:tcW w:w="977" w:type="pct"/>
            <w:shd w:val="clear" w:color="auto" w:fill="D0CECE"/>
            <w:vAlign w:val="center"/>
          </w:tcPr>
          <w:p w14:paraId="1B695A73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含税</w:t>
            </w:r>
          </w:p>
          <w:p w14:paraId="0FB02F7B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价</w:t>
            </w:r>
          </w:p>
        </w:tc>
        <w:tc>
          <w:tcPr>
            <w:tcW w:w="976" w:type="pct"/>
            <w:shd w:val="clear" w:color="auto" w:fill="D0CECE"/>
            <w:vAlign w:val="center"/>
          </w:tcPr>
          <w:p w14:paraId="2EF90D1E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备注</w:t>
            </w:r>
          </w:p>
        </w:tc>
      </w:tr>
      <w:tr w14:paraId="715E0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631964A0">
            <w:pPr>
              <w:numPr>
                <w:ilvl w:val="0"/>
                <w:numId w:val="1"/>
              </w:num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Times New Roman"/>
                <w:color w:val="000000"/>
                <w:kern w:val="0"/>
                <w:sz w:val="22"/>
                <w:szCs w:val="20"/>
              </w:rPr>
              <w:t>1</w:t>
            </w: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1B25B">
            <w:pPr>
              <w:widowControl/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OD-TX1-1</w:t>
            </w:r>
          </w:p>
        </w:tc>
        <w:tc>
          <w:tcPr>
            <w:tcW w:w="433" w:type="pct"/>
            <w:vAlign w:val="center"/>
          </w:tcPr>
          <w:p w14:paraId="4FAE1B12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24" w:type="pct"/>
            <w:vAlign w:val="center"/>
          </w:tcPr>
          <w:p w14:paraId="0C90E742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43A873FF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20276F02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42C51261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6685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343E406C">
            <w:pPr>
              <w:numPr>
                <w:ilvl w:val="0"/>
                <w:numId w:val="1"/>
              </w:num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Times New Roman"/>
                <w:color w:val="000000"/>
                <w:kern w:val="0"/>
                <w:sz w:val="22"/>
                <w:szCs w:val="20"/>
              </w:rPr>
              <w:t>2</w:t>
            </w: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13034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OD-TX1-2</w:t>
            </w:r>
          </w:p>
        </w:tc>
        <w:tc>
          <w:tcPr>
            <w:tcW w:w="433" w:type="pct"/>
            <w:vAlign w:val="center"/>
          </w:tcPr>
          <w:p w14:paraId="47D91E95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24" w:type="pct"/>
            <w:vAlign w:val="center"/>
          </w:tcPr>
          <w:p w14:paraId="34609703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2ED26155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2B7AF6D2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5624E695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802B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76C9AACE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C8EC1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OD-TX1-3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100710DC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0FC02A78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118F22BA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64AAA7D4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62AF6EBD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5FD8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380FB83D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D580A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OD-TX1-4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288A1FFF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31968F59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30DD8761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18ADC352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00332F8D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D3C0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1AEA079A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32434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OD-TX1-5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201AD192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017936B1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4E17B462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5239C433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0C8E32DF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19B1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28063AF9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78EB0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OD-TX1-6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7E133CD6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44C2EF91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026AD4AD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00596CE7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57F7F21C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DBD9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7C0081B6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B8D96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OD-TX1-6A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69BA24E6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31DD1832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0C2CB686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1F306AEB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55B65930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5200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066FCE96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14971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OD-TX1-7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26CC4F22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41A427DB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1CBA5D09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18908D65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5B69A1B7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5122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7354B541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AA1C5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OD-TX1-8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71A48B87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2A5525A2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1A7A27DB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0F89EE6B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1EAC394C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0A5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74586BA9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1EDE3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OD-TX1-9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2EEA263E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64F02C50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71FB993D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59EC2FCE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29609475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BC8D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77126F5A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65488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OD-TX1-7A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5D4252C8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07A2D05F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7AAF22D3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0F4BB8EF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07003913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D086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3923B8AF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2CA3D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OD-TX1-8A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4DA4CE59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6E285EA3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5C3F8D19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52BCCE39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370FB04D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7F1C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295DDFA8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C6A07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OD-TX1-9A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7BD6779D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1F9B5BA6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735E86BE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5960CE01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4743B010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FFFA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35B14623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15048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OI-TX1-1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376210BA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1F1BF287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6E17823E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0DDC12EB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1927C9A9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47F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5C89A0CE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39AC5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OI-TX1-2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5896C133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201A1B0F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0137E60B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708AE600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79BC93FB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0486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6CB5A4E0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CC068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OI-TX1-3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37AD6B08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5852B0A6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15B7B2B9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63488677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46205A84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9F0B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1CAA7CAD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0B162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OI-TX1-4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6756780C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50419A09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7C73C013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6C820D99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140C6B55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606D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6B3268CE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80281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OI-TX1-5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1273FDA0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33115CBC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038F0E6A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2173FE83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6A6A0F72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BFF4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06D32782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16DD0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OI-TX1-6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638C19D6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08DDF105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0A59EF69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51AE5DCA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2210982B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0A72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62CA2A2F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476F4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OI-TX1-6A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3D906819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0BD5AAEE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46B70D65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688CF08E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55CF6D03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2BD5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6076284A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2ACF7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OI-TX1-7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56E7DD0F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7700B93D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11B170B5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08B3CD62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66408DC5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FB70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6CB41327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32B7F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OI-TX1-8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6538B82A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30723877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65F46173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101CFF63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55B749AA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9E1A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710BFCDF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0E76E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OI-TX1-9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393EE5E6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1C91B6D1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022C6A12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7897C661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1A0F216B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A43E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16B0F3A6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95BC5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OI-TX1-7A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1E6CA282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589C5057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386617F5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5BA73B8B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5397230F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AA47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7B283776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466A9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OI-TX1-8A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18A21680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3E551FBE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2D723D27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0FB540C2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439BE180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2FC8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27627000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0A8AF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OI-TX1-9A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0B8E9F51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6444117E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14368023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1E11DACA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1BBCA19C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69EB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23EDA5F0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C6E2A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DEBS1-1A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6A78F528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16E60AA0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201A79AD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1E7188BC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1ABCBF31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F310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4AE94ADC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3DA1B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DEBS1-1B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52402C0F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4FC07903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4CEDCF74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29D938D5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5CF965D1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C305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73A09802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AA5F6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DEBS1-1C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3C4FBB17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03C6DE30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11B9F83B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70219CB9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4BE58D38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1459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56146B94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AD48E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DEBS1-1D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0E00B4D4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30EC5BF6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7C26C6CC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1A1FFB12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5D995E06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B320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3A9DB428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8372B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DEBS1-1E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2721DD4D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69127612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3C916E4D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4D4DC8BB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6496F632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C4D1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48471DBA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2F417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DEBS1-1F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39761AE4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33BEE48D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34494A11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2FC1E987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4E159575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6703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1ABBAFB6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D6945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DEBS1-2A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4F301730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1263C412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2265EE10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0CC3C538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4B670B7C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4E44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559C21D4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41806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DEBS1-2B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49B97FC0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6288290D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4CDC2DAC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3C94469F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56A2252B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4D64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412E8956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B2C70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DEBS1-2C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1CE2C1EB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15BC99B7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11FB6B3F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7815FD45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65916735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7A47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55C303A3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6B02E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DEBS1-3A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08CA5B4D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0D286319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15A95841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37D2F70D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5F93BAA8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04DC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6A350E78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7C6AC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DEBS1-3B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25E5A61E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08ED20DA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6E044BD9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13504CA0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69108302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BE2B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1123E79E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FC99B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DEBS1-4A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5E24F769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458EB14D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07BA09E0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5131612F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3F747E8C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58D6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07218EA0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769FD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DEBS1-4B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50CEBD79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2148A1E8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78C99459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33040F3B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7B899EE5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8135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550D92D1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90293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DEBS1-4C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11FF2763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31579265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06AEE6D0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4AE0E8D0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4895F1D5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4E10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2F418821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434D2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DEBS1-4D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47CC59DA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4679FA44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40E23A5F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1B99346F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3E7F0CA1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EBC0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3FE3E992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75BF7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DEBS1-4E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29CE2681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0B3DC66F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4ED8DE87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35D01072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24A26BE5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7E72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22F451BA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24B3B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DEBS2-1A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742351B9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02B8D3F8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08FC0CC3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08BDB036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246A44D4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DAB2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7ED2FB80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28A0C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DEBS2-1B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63995F8E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4239837C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0DF15E6F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30D39ABE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6A917693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6AA6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705A87BA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31EDD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DEBS2-1C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5EE3A5E6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3DFBF500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7FF3C17A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2BE7B432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61B96364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67AC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44FD9057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53196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DEBS2-1D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7B0417B9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4C31EB99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58FB2586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1596DD49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6BCBADBA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207E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0475BEE0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88C74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DEBS2-1E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04E99B15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0548AD15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6E4D992B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17135B09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2006FD3E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0753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3AE1EB96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809F8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DEBS2-1F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0C1F742A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08D33D43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05F9E803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4B5D8262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348E7D6E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409E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652E589A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2500C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DEBS2-2A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014B4B49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2A8B2BD0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33340258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08806994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6A2FE4CF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F1D1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08FF4B19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906AE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DEBS2-2B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5024B0E4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1CCFE19E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7B8268A3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3B0A94FE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2612793D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2731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77B5CA9E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AD923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DEBS2-2C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76E271BE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704E595F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32BD7CA9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3A09B37E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2806CDC2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EC96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57EB078A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8DDD3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DEBS2-3A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2A442329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46362FC4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6CAC537D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1ADC5D39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06501809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9EAF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586ED4C3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439A1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DEBS2-3B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040C6525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7A93584F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54E1F90A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1BC78E84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65CD18F4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F054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1E9AEE31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8D29A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DEBS1-4A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6DF519AF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1C6068B4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7683A700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06807EA6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504FB017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FBE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4CC30AC2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3E503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DEBS1-4B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520D864A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7B2553D4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596CD35D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2CFB8BA4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73EEAF04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C055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21923185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BF0F7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DEBS1-4C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0F325920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293B6045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52D72186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45B4E18D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4AD20394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5E57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0934187F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99922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DEBS1-4D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09D82249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18EC6432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1E73B05A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1E2BF1BC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2D584649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C6D4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5E761867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715B1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OI-PR15-1A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7CDA18BD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2A91C0D7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7CD21AE8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4507F3A5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64DE81CA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E81B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1B1E9E24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AB957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OI-PR15-1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1495F2DC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5B83B7D9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141151E9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6890C5E5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5F55767E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E5E7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2FB76064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D0B6B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OI-PR15-2A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092318F0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300BEE8F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67057CDC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0D70B5FB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299ED399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5EA8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0C5605EB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D0591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OI-PR15-2B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4C94A851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0FF41843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5607C04F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7A36858E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417BDAAC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1FCC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3F8AE651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15EF7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OI-PR15-2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51B6F6A5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61DC38FF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38718035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2A034831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5D6EFA72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8290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3C8E11CA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D6B8B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OI-PR16-1A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7DCC7285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04B74A53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296A29D8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6000C8A4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2CF94522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4C00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6A31B8DE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27ED4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OI-PR16-1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285F5912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2BFC4CA8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5E3DD7F9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56E4CF54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525E4963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14CD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2A7901F6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5DAE0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OI-PR16-2A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2DAE6B67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380CA5E5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37F11E00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718F6AEA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76943660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A33C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18FB0471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EDE36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OI-PR16-2B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6FCFD857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7A6F8893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19EE485A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2790CDF8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68A7749B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594F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45D8C5AC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6AB4E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OI-PR16-2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388C7C02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7C44BC6E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35905E9B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6AA76E2C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11626A79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2F94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3628DC93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C00D7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OI-PR17-1A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044D12CC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091A3AA8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0B20B240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144212E3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08169AA5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5890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19F98EF4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AFA97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OI-PR17-1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182DC676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1DE8AF37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3998BE1E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2580C06E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674C671F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242F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343A86A1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DFD66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OI-PR17-2A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4BCAD011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6AC1E66D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7BB5E1BE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3649910E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77989CD4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E6BE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6A6299B4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5D7A4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OI-PR17-2B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61ABA88F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181C180B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26325428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0E9D3BCF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179A6CF4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FB26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1141B36D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6C2AB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OI-PR17-2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47A78E15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0B70D792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3D5385E8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22D4A977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17639860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41C1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3A6494F7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32C99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OI-PR18-1A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777BA177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5FEFD492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2626CFA5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0FD97296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375013BF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122B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5CBB52E0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02E5F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OI-PR18-1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74CA29A7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2C82F900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6B128D7F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4B46E268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3E5CAE80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A4BC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478D5F77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0628D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OI-PR18-2A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46429CEF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2CB350DA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316915E0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155B4492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09B0100E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78D2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28A25D4B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FF984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OI-PR18-2B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443EE11D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704CB006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2A04805E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367AA5B9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750B524D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F3DB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57D9B324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C1E56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OI-PR18-2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290778ED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07B39C21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541795F8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2F0508FE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50D8517E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2D66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6859ED57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5E757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OI-PR19-1A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32FFDAB5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06BCEBA0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341F0A03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4FBEEF43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0C31BA42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59FB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73F1C5D4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D3421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OI-PR19-1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5DABB0AF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735F4F8F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784305E1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236EAB58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1E0E456D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DF2B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2757B548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225DB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OI-PR19-2A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40F69B7D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2C095D7E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60E56746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50D55A32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38F0B8EC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37E2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44655244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4DA1F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OI-PR19-2B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1D0AE39A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434C8A97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16C1E97A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0F190D7A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2348FAE2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FCDD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7BF352B2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25C8D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OI-PR19-2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1A5F977E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053A6973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485EFFC8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2ED80E49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53308E5F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26D0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27E5C445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D6056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缓冲输送机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15B8162E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07BDCC0A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5162C8FB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6F13DA98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6023342F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0739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3181ED35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2D82F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中转流程之控制柜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43EA8090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48CE2E58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05407C24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2FC80648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5C1D6E11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3D14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3215CF48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AD18F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缓冲输送机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185B6832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0E39D7EC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12D8434D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043C5D8A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15477B20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89D2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475A8081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6D56C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缓冲输送机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19F8804A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6355EF0C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5D238703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417C07E3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04D1AC90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50B1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253D7BF5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D3049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缓冲输送机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23449B4B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2BF268A4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3CCEA305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11FBB32A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1E2AF942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E144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1396BD1D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7B6BE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缓冲输送机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11E06E28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75375195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31F5D7DE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00B8A331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67EF870D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4943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501691E8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EFB70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缓冲输送机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69205C99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03DD667B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095A1E24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4086E77C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1225B485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AD05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35DAA5F0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3E40D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缓冲输送机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7EB06A4D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1DA5AE79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375EC2E4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7A9F57D2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077EF196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4037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7DE56D5B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24F54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缓冲输送机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2C2AF70B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028CE24D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0CA3B737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226CB979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304A74DD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BCAA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1E769F00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D31A7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缓冲输送机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267E8659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6B0B53EC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4F06C3F5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11677C01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3F686CE1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A8D2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29D33044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514A8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缓冲输送机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4DE886E9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45E660AF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484768A7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6BB1FF5E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37E73E90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EA92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55DBBEDC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DDC5F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人工编码站设备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67534E76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17BABE8A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615C505A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33A0B97B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3DB72AA5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BD86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603D6200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5D16D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中转流程之机柜/1个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5D35D0C7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71A0E9D8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09C1AF16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7B6E4EFD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04E8C941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DE9B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436230E6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C44C0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中转流程之机柜/1个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2E46CB0D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4424C6F1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5F6FF046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35F71CB7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4EBCA210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E5A1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7FBC14F8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60112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中转流程之机柜/1个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0DE22F97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61969B7B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514FF134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1659F4F7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113C867F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4094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61DD137F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5B94F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早交编码站控制柜（含皮带机）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41BC9EC3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0D07EF3E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6EF0CAA0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13B3E78F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77913E7C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DB23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25874876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84562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早交编码站控制柜（含皮带机）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3B746BB5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21F5F34F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784779A6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38569BA3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7C11FC83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BA4E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62BAF1AB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4F838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早交编码站控制柜（含皮带机）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36C4BBE7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12EC74B7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34224377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0BFC785C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26FD5EDC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5C25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2DB3CB07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FC313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早交编码站控制柜（含皮带机）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759A2C92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2FE6E126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6BC3085E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7D9E746C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0EB5DC03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068D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5366C6C9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1692B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中转流程之动力配电柜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3200F634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38BAA6AB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455B80C2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6A8AE612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5BA4CB67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CED2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7780C8AB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D9063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中转流程之控制柜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1E52FD9A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2DD10106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75FA1C42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338FB951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6CF9A1E7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CED1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28B4344A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15ABA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缓冲输送机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0D7BFE6B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5CB8AF5B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77" w:type="pct"/>
            <w:vAlign w:val="center"/>
          </w:tcPr>
          <w:p w14:paraId="25472FAB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7674317A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4DBA3141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EC68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4308B55A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E6EF1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T2B-自动扶梯59部（其中28部）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2D9131A1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ascii="等线" w:hAnsi="等线" w:eastAsia="等线" w:cs="Times New Roman"/>
                <w:kern w:val="0"/>
                <w:sz w:val="22"/>
                <w:szCs w:val="22"/>
              </w:rPr>
              <w:t>28</w:t>
            </w:r>
          </w:p>
        </w:tc>
        <w:tc>
          <w:tcPr>
            <w:tcW w:w="324" w:type="pct"/>
            <w:vAlign w:val="center"/>
          </w:tcPr>
          <w:p w14:paraId="3F59FE1F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</w:t>
            </w:r>
          </w:p>
        </w:tc>
        <w:tc>
          <w:tcPr>
            <w:tcW w:w="977" w:type="pct"/>
            <w:vAlign w:val="center"/>
          </w:tcPr>
          <w:p w14:paraId="46EC4E70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53701AC6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06FEC52E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3064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2BF65392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vAlign w:val="center"/>
          </w:tcPr>
          <w:p w14:paraId="1D835399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护网</w:t>
            </w:r>
          </w:p>
        </w:tc>
        <w:tc>
          <w:tcPr>
            <w:tcW w:w="433" w:type="pct"/>
            <w:vAlign w:val="center"/>
          </w:tcPr>
          <w:p w14:paraId="61291023">
            <w:pPr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92</w:t>
            </w:r>
          </w:p>
        </w:tc>
        <w:tc>
          <w:tcPr>
            <w:tcW w:w="324" w:type="pct"/>
            <w:vAlign w:val="center"/>
          </w:tcPr>
          <w:p w14:paraId="39EE048A">
            <w:pPr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块</w:t>
            </w:r>
          </w:p>
        </w:tc>
        <w:tc>
          <w:tcPr>
            <w:tcW w:w="977" w:type="pct"/>
            <w:vAlign w:val="center"/>
          </w:tcPr>
          <w:p w14:paraId="518E7DCF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18F96CAB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6ED09D88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ED21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55686048">
            <w:pPr>
              <w:numPr>
                <w:ilvl w:val="0"/>
                <w:numId w:val="1"/>
              </w:num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3" w:type="pct"/>
            <w:vAlign w:val="center"/>
          </w:tcPr>
          <w:p w14:paraId="6206E4A9">
            <w:pPr>
              <w:jc w:val="center"/>
              <w:rPr>
                <w:rFonts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铁皮</w:t>
            </w:r>
            <w:r>
              <w:rPr>
                <w:rFonts w:ascii="等线" w:hAnsi="等线" w:eastAsia="等线" w:cs="Times New Roman"/>
                <w:kern w:val="0"/>
                <w:sz w:val="22"/>
                <w:szCs w:val="22"/>
              </w:rPr>
              <w:t>箱子</w:t>
            </w:r>
          </w:p>
        </w:tc>
        <w:tc>
          <w:tcPr>
            <w:tcW w:w="433" w:type="pct"/>
            <w:vAlign w:val="center"/>
          </w:tcPr>
          <w:p w14:paraId="76E0E91E">
            <w:pPr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32</w:t>
            </w:r>
          </w:p>
        </w:tc>
        <w:tc>
          <w:tcPr>
            <w:tcW w:w="324" w:type="pct"/>
            <w:vAlign w:val="center"/>
          </w:tcPr>
          <w:p w14:paraId="1F52A52E">
            <w:pPr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个</w:t>
            </w:r>
          </w:p>
        </w:tc>
        <w:tc>
          <w:tcPr>
            <w:tcW w:w="977" w:type="pct"/>
            <w:vAlign w:val="center"/>
          </w:tcPr>
          <w:p w14:paraId="3C87515D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41F6BD8C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47F9B413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8392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3047" w:type="pct"/>
            <w:gridSpan w:val="5"/>
            <w:vAlign w:val="center"/>
          </w:tcPr>
          <w:p w14:paraId="73838AE6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8"/>
                <w:szCs w:val="24"/>
                <w:highlight w:val="green"/>
              </w:rPr>
              <w:t>合计</w:t>
            </w:r>
          </w:p>
        </w:tc>
        <w:tc>
          <w:tcPr>
            <w:tcW w:w="977" w:type="pct"/>
            <w:vAlign w:val="center"/>
          </w:tcPr>
          <w:p w14:paraId="35EBEA70">
            <w:pPr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highlight w:val="green"/>
              </w:rPr>
            </w:pPr>
          </w:p>
        </w:tc>
        <w:tc>
          <w:tcPr>
            <w:tcW w:w="976" w:type="pct"/>
            <w:vAlign w:val="center"/>
          </w:tcPr>
          <w:p w14:paraId="4A49F37D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</w:tr>
    </w:tbl>
    <w:p w14:paraId="36CFFA13">
      <w:pPr>
        <w:widowControl/>
        <w:tabs>
          <w:tab w:val="left" w:pos="426"/>
        </w:tabs>
        <w:spacing w:line="360" w:lineRule="atLeast"/>
        <w:jc w:val="left"/>
        <w:rPr>
          <w:rFonts w:ascii="Arial" w:hAnsi="Arial" w:eastAsia="宋体" w:cs="Arial"/>
          <w:b/>
          <w:color w:val="333333"/>
          <w:kern w:val="0"/>
          <w:szCs w:val="21"/>
        </w:rPr>
      </w:pPr>
    </w:p>
    <w:p w14:paraId="77A23C8D">
      <w:pPr>
        <w:widowControl/>
        <w:tabs>
          <w:tab w:val="left" w:pos="426"/>
        </w:tabs>
        <w:spacing w:line="360" w:lineRule="atLeast"/>
        <w:jc w:val="left"/>
        <w:rPr>
          <w:rFonts w:ascii="Arial" w:hAnsi="Arial" w:eastAsia="宋体" w:cs="Arial"/>
          <w:b/>
          <w:color w:val="333333"/>
          <w:kern w:val="0"/>
          <w:szCs w:val="21"/>
        </w:rPr>
      </w:pPr>
      <w:r>
        <w:rPr>
          <w:rFonts w:hint="eastAsia" w:ascii="Arial" w:hAnsi="Arial" w:eastAsia="宋体" w:cs="Arial"/>
          <w:b/>
          <w:color w:val="333333"/>
          <w:kern w:val="0"/>
          <w:szCs w:val="21"/>
        </w:rPr>
        <w:t>注：</w:t>
      </w:r>
    </w:p>
    <w:p w14:paraId="6A85BCC5">
      <w:pPr>
        <w:widowControl/>
        <w:numPr>
          <w:ilvl w:val="0"/>
          <w:numId w:val="2"/>
        </w:numPr>
        <w:tabs>
          <w:tab w:val="left" w:pos="426"/>
        </w:tabs>
        <w:spacing w:line="360" w:lineRule="atLeast"/>
        <w:jc w:val="left"/>
        <w:rPr>
          <w:rFonts w:ascii="Arial" w:hAnsi="Arial" w:eastAsia="宋体" w:cs="Arial"/>
          <w:b/>
          <w:color w:val="333333"/>
          <w:kern w:val="0"/>
          <w:szCs w:val="21"/>
        </w:rPr>
      </w:pPr>
      <w:r>
        <w:rPr>
          <w:rFonts w:hint="eastAsia" w:ascii="Arial" w:hAnsi="Arial" w:eastAsia="宋体" w:cs="Arial"/>
          <w:b/>
          <w:color w:val="333333"/>
          <w:kern w:val="0"/>
          <w:szCs w:val="21"/>
        </w:rPr>
        <w:t>本次处置报废资产采用“价高者得”，即：所报总价最高者且所报总价不低于采购人设定的底价的，为中选回收商，采购人将以电话形式通知中选；</w:t>
      </w:r>
    </w:p>
    <w:p w14:paraId="05A18291">
      <w:pPr>
        <w:widowControl/>
        <w:numPr>
          <w:ilvl w:val="0"/>
          <w:numId w:val="2"/>
        </w:numPr>
        <w:tabs>
          <w:tab w:val="left" w:pos="426"/>
        </w:tabs>
        <w:spacing w:line="360" w:lineRule="atLeast"/>
        <w:jc w:val="left"/>
        <w:rPr>
          <w:rFonts w:ascii="Arial" w:hAnsi="Arial" w:eastAsia="宋体" w:cs="Arial"/>
          <w:b/>
          <w:color w:val="333333"/>
          <w:kern w:val="0"/>
          <w:szCs w:val="21"/>
        </w:rPr>
      </w:pPr>
      <w:r>
        <w:rPr>
          <w:rFonts w:hint="eastAsia" w:ascii="Arial" w:hAnsi="Arial" w:eastAsia="宋体" w:cs="Arial"/>
          <w:b/>
          <w:color w:val="333333"/>
          <w:kern w:val="0"/>
          <w:szCs w:val="21"/>
        </w:rPr>
        <w:t>报废资产现状将组织现场踏勘（每家应答人仅限一人参加），未参加踏勘的应答人将被视为自动接受资产现状；资产权属单位可开具3%的增值税专用发票；</w:t>
      </w:r>
    </w:p>
    <w:p w14:paraId="57CC9B63">
      <w:pPr>
        <w:widowControl/>
        <w:numPr>
          <w:ilvl w:val="0"/>
          <w:numId w:val="2"/>
        </w:numPr>
        <w:tabs>
          <w:tab w:val="left" w:pos="426"/>
        </w:tabs>
        <w:spacing w:line="360" w:lineRule="atLeast"/>
        <w:jc w:val="left"/>
        <w:rPr>
          <w:rFonts w:ascii="Arial" w:hAnsi="Arial" w:eastAsia="宋体" w:cs="Arial"/>
          <w:b/>
          <w:color w:val="333333"/>
          <w:kern w:val="0"/>
          <w:szCs w:val="21"/>
        </w:rPr>
      </w:pPr>
      <w:r>
        <w:rPr>
          <w:rFonts w:hint="eastAsia" w:ascii="Arial" w:hAnsi="Arial" w:eastAsia="宋体" w:cs="Arial"/>
          <w:b/>
          <w:color w:val="333333"/>
          <w:kern w:val="0"/>
          <w:szCs w:val="21"/>
        </w:rPr>
        <w:t>中选回收商应在收到中选通知之日起，三个工作日内给予采购人答复，逾期视为自动放弃（加入股份公司服务商黑名单，五年内不再予以录用）；</w:t>
      </w:r>
    </w:p>
    <w:p w14:paraId="5BAE0F84">
      <w:pPr>
        <w:widowControl/>
        <w:numPr>
          <w:ilvl w:val="0"/>
          <w:numId w:val="2"/>
        </w:numPr>
        <w:spacing w:before="100" w:beforeAutospacing="1" w:after="100" w:afterAutospacing="1" w:line="360" w:lineRule="atLeast"/>
        <w:jc w:val="left"/>
        <w:rPr>
          <w:rFonts w:ascii="Arial" w:hAnsi="Arial" w:eastAsia="宋体" w:cs="Arial"/>
          <w:b/>
          <w:color w:val="333333"/>
          <w:kern w:val="0"/>
          <w:szCs w:val="21"/>
        </w:rPr>
      </w:pPr>
      <w:r>
        <w:rPr>
          <w:rFonts w:hint="eastAsia" w:ascii="Arial" w:hAnsi="Arial" w:eastAsia="宋体" w:cs="Arial"/>
          <w:b/>
          <w:color w:val="333333"/>
          <w:kern w:val="0"/>
          <w:szCs w:val="21"/>
        </w:rPr>
        <w:t>价格应包含一切税费。甲方不需因运输、装卸、仓储、保险等任何理由向乙方支付任何其他费用；</w:t>
      </w:r>
    </w:p>
    <w:p w14:paraId="61248327">
      <w:pPr>
        <w:widowControl/>
        <w:numPr>
          <w:ilvl w:val="0"/>
          <w:numId w:val="2"/>
        </w:numPr>
        <w:tabs>
          <w:tab w:val="left" w:pos="426"/>
        </w:tabs>
        <w:spacing w:line="360" w:lineRule="atLeast"/>
        <w:jc w:val="left"/>
        <w:rPr>
          <w:rFonts w:ascii="Arial" w:hAnsi="Arial" w:eastAsia="宋体" w:cs="Arial"/>
          <w:b/>
          <w:color w:val="333333"/>
          <w:kern w:val="0"/>
          <w:szCs w:val="21"/>
        </w:rPr>
      </w:pPr>
      <w:r>
        <w:rPr>
          <w:rFonts w:hint="eastAsia" w:ascii="Arial" w:hAnsi="Arial" w:eastAsia="宋体" w:cs="Arial"/>
          <w:b/>
          <w:color w:val="333333"/>
          <w:kern w:val="0"/>
          <w:szCs w:val="21"/>
        </w:rPr>
        <w:t>中选回收商负责报废设备的拆除，并在采购人指定时间内将报废设备运离现场；</w:t>
      </w:r>
    </w:p>
    <w:p w14:paraId="691CA2C0">
      <w:pPr>
        <w:widowControl/>
        <w:numPr>
          <w:ilvl w:val="0"/>
          <w:numId w:val="2"/>
        </w:numPr>
        <w:tabs>
          <w:tab w:val="left" w:pos="426"/>
        </w:tabs>
        <w:spacing w:line="360" w:lineRule="atLeast"/>
        <w:jc w:val="left"/>
        <w:rPr>
          <w:rFonts w:ascii="Arial" w:hAnsi="Arial" w:eastAsia="宋体" w:cs="Arial"/>
          <w:b/>
          <w:color w:val="333333"/>
          <w:kern w:val="0"/>
          <w:szCs w:val="21"/>
        </w:rPr>
      </w:pPr>
      <w:r>
        <w:rPr>
          <w:rFonts w:hint="eastAsia" w:ascii="Arial" w:hAnsi="Arial" w:eastAsia="宋体" w:cs="Arial"/>
          <w:b/>
          <w:color w:val="333333"/>
          <w:kern w:val="0"/>
          <w:szCs w:val="21"/>
        </w:rPr>
        <w:t>报价回收商营业执照经营范围内需含相应的废物回收业务；</w:t>
      </w:r>
    </w:p>
    <w:p w14:paraId="09E80AAD">
      <w:pPr>
        <w:widowControl/>
        <w:numPr>
          <w:ilvl w:val="0"/>
          <w:numId w:val="2"/>
        </w:numPr>
        <w:tabs>
          <w:tab w:val="left" w:pos="426"/>
        </w:tabs>
        <w:spacing w:line="360" w:lineRule="atLeast"/>
        <w:jc w:val="left"/>
        <w:rPr>
          <w:rFonts w:ascii="Arial" w:hAnsi="Arial" w:eastAsia="宋体" w:cs="Arial"/>
          <w:b/>
          <w:color w:val="333333"/>
          <w:kern w:val="0"/>
          <w:szCs w:val="21"/>
        </w:rPr>
      </w:pPr>
      <w:r>
        <w:rPr>
          <w:rFonts w:hint="eastAsia" w:ascii="Arial" w:hAnsi="Arial" w:eastAsia="宋体" w:cs="Arial"/>
          <w:b/>
          <w:color w:val="333333"/>
          <w:kern w:val="0"/>
          <w:szCs w:val="21"/>
        </w:rPr>
        <w:t>质疑应在递交比选文件截止时间前以“***公司报名***项目质疑”为标题发送邮件至jcbzcgl@bcia.com.cn，未按规定发送质疑邮件恕不接受；</w:t>
      </w:r>
    </w:p>
    <w:p w14:paraId="03F581F1">
      <w:pPr>
        <w:widowControl/>
        <w:numPr>
          <w:ilvl w:val="0"/>
          <w:numId w:val="2"/>
        </w:numPr>
        <w:tabs>
          <w:tab w:val="left" w:pos="426"/>
        </w:tabs>
        <w:spacing w:line="360" w:lineRule="atLeast"/>
        <w:jc w:val="left"/>
        <w:rPr>
          <w:rFonts w:ascii="Arial" w:hAnsi="Arial" w:eastAsia="宋体" w:cs="Arial"/>
          <w:b/>
          <w:color w:val="333333"/>
          <w:kern w:val="0"/>
          <w:szCs w:val="21"/>
        </w:rPr>
      </w:pPr>
      <w:r>
        <w:rPr>
          <w:rFonts w:hint="eastAsia" w:ascii="Arial" w:hAnsi="Arial" w:eastAsia="宋体" w:cs="Arial"/>
          <w:b/>
          <w:color w:val="333333"/>
          <w:kern w:val="0"/>
          <w:szCs w:val="21"/>
        </w:rPr>
        <w:t>请在报价清单上加盖单位公章后连同附件</w:t>
      </w:r>
      <w:r>
        <w:rPr>
          <w:rFonts w:ascii="Arial" w:hAnsi="Arial" w:eastAsia="宋体" w:cs="Arial"/>
          <w:b/>
          <w:color w:val="333333"/>
          <w:kern w:val="0"/>
          <w:szCs w:val="21"/>
        </w:rPr>
        <w:t>2</w:t>
      </w:r>
      <w:r>
        <w:rPr>
          <w:rFonts w:hint="eastAsia" w:ascii="Arial" w:hAnsi="Arial" w:eastAsia="宋体" w:cs="Arial"/>
          <w:b/>
          <w:color w:val="333333"/>
          <w:kern w:val="0"/>
          <w:szCs w:val="21"/>
        </w:rPr>
        <w:t>-4一并密封提供（密封处需加盖公章）。</w:t>
      </w:r>
    </w:p>
    <w:p w14:paraId="064CBF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E25BDA"/>
    <w:multiLevelType w:val="multilevel"/>
    <w:tmpl w:val="44E25BDA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78599C"/>
    <w:multiLevelType w:val="multilevel"/>
    <w:tmpl w:val="5E78599C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A68B5"/>
    <w:rsid w:val="44BA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2025-12-02T03:25:00Z</dcterms:created>
  <dc:creator>Arvin</dc:creator>
  <cp:lastModifiedBy>Arvin</cp:lastModifiedBy>
  <dcterms:modified xsi:type="dcterms:W3CDTF">2025-12-02T03:26:45Z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3793CAC1551C42879F7BF4CD606A9059_11</vt:lpwstr>
  </property>
  <property fmtid="{D5CDD505-2E9C-101B-9397-08002B2CF9AE}" pid="4" name="KSOTemplateDocerSaveRecord">
    <vt:lpwstr>eyJoZGlkIjoiYmU4ODNlNTk2OGE2MDVkOTIxNDlhMWQyMDM2OTdhM2IiLCJ1c2VySWQiOiI0ODY5NzIyMTUifQ==</vt:lpwstr>
  </property>
</Properties>
</file>